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текущего ремонта в многоквартирном доме.</w:t>
      </w:r>
    </w:p>
    <w:p w:rsid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F90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 xml:space="preserve">Текущий ремонт общего имущества многоквартирного дома в общем случае включает работы по устранению неисправностей элементов, оборудования и инженерных систем дома, </w:t>
      </w:r>
      <w:proofErr w:type="gramStart"/>
      <w:r w:rsidRPr="00C07D8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07D87">
        <w:rPr>
          <w:rFonts w:ascii="Times New Roman" w:hAnsi="Times New Roman" w:cs="Times New Roman"/>
          <w:sz w:val="28"/>
          <w:szCs w:val="28"/>
        </w:rPr>
        <w:t xml:space="preserve"> фасадов, крыши, центрального отопления, мусоропроводов и др. Он проводится по решению общего собрания собственников помещений. Плата за ремонт включается в состав платы за содержание жилого помещения.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При этом можно выделить два вида текущего ремонта: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планово-предупредительный - основной вид ремонта, который выполняется с установленной периодичностью с учетом оценки технического состояния здания, инженерного оборудования коммуникаций;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внеплановый (непредвиденный) - выполняется, как правило, в срочном порядке для исправления случайных повреждений и недостатков, которые были обнаружены в процессе эксплуатации дома или при проведении осмотра.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финансирования.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Собственники помещений вправе самостоятельно совершать действия по ремонту общего имущества или привлекать иных лиц для оказания услуг и выполнения работ по ремонту с учетом выбранного способа управления многоквартирным домом.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Надлежащее содержание общего имущества, в том числе осуществление текущего ремонта, в зависимости от способа управления многок</w:t>
      </w:r>
      <w:r>
        <w:rPr>
          <w:rFonts w:ascii="Times New Roman" w:hAnsi="Times New Roman" w:cs="Times New Roman"/>
          <w:sz w:val="28"/>
          <w:szCs w:val="28"/>
        </w:rPr>
        <w:t>вартирным домом обеспечивается</w:t>
      </w:r>
      <w:r w:rsidRPr="00C07D87">
        <w:rPr>
          <w:rFonts w:ascii="Times New Roman" w:hAnsi="Times New Roman" w:cs="Times New Roman"/>
          <w:sz w:val="28"/>
          <w:szCs w:val="28"/>
        </w:rPr>
        <w:t>: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а) собственниками помещений: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путем заключения договора управления многоквартирным домом с управляющей организацией;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путем заключения договора о содержании и ремонте общего имущества с лицами, оказывающими услуги и (или) выполняющими работы (при непосредственном управлении многоквартирным домом);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б) ТСЖ, жилищным, жилищно-строительным кооперативом или иным специализированным потребительским кооперативом (при управлении многоквартирным домом):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путем членства собственников помещений в указанных организациях;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путем заключения собственниками помещений, не являющимися членами указанных организаций, договоров о содержании и ремонте общего имущества с этими организациями;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в) застройщиком (лицом, обеспечивающим строительство многоквартирного дома) - в отношении помещений в этом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эксплуатацию: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самостоятельно (без заключения договора управления таким домом с управляющей организацией);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lastRenderedPageBreak/>
        <w:t>путем заключения договора управления многоквартирным домом с управляющей организацией;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г) лицом, принявшим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передаче, путем заключения договора управления многоквартирным домом с управляющей организацией, отобранной органом местного самоуправления по результатам открытого конкурса.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Если был заключен договор с управляющей организацией, то в договоре управления в том числе должен содержаться перечень услуг и работ по содержанию и ремонту общего имущества в многоквартирном доме, порядок изменения такого перечня, размера платы за содержание и ремонт жилого помещения, а также порядок внесения такой платы (ч. 2, 3 ст. 162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C07D87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C07D87" w:rsidRPr="00C07D87" w:rsidRDefault="00C07D87" w:rsidP="00C07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87">
        <w:rPr>
          <w:rFonts w:ascii="Times New Roman" w:hAnsi="Times New Roman" w:cs="Times New Roman"/>
          <w:sz w:val="28"/>
          <w:szCs w:val="28"/>
        </w:rPr>
        <w:t>При этом управляющая организация, товарищество или кооператив должны обеспечивать нормативно установленные требования по содержанию и обслуживанию жилого фонда (ч. 2.2, 2.3 ст. 161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C07D87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C07D87" w:rsidRDefault="00C07D87" w:rsidP="00A14692">
      <w:pPr>
        <w:rPr>
          <w:rFonts w:ascii="Times New Roman" w:hAnsi="Times New Roman" w:cs="Times New Roman"/>
          <w:sz w:val="28"/>
          <w:szCs w:val="28"/>
        </w:rPr>
      </w:pPr>
    </w:p>
    <w:p w:rsidR="00A14692" w:rsidRPr="00A14692" w:rsidRDefault="00A14692" w:rsidP="00A14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помощник прокурора Курского района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И.В. Минакова</w:t>
      </w:r>
    </w:p>
    <w:sectPr w:rsidR="00A14692" w:rsidRPr="00A1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87"/>
    <w:rsid w:val="00A14692"/>
    <w:rsid w:val="00B21F90"/>
    <w:rsid w:val="00C0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28A4"/>
  <w15:chartTrackingRefBased/>
  <w15:docId w15:val="{35BA5992-3F0A-4855-A52D-2E738DF7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2024-01-26T13:33:00Z</dcterms:created>
  <dcterms:modified xsi:type="dcterms:W3CDTF">2024-01-31T11:02:00Z</dcterms:modified>
</cp:coreProperties>
</file>